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08"/>
        <w:tblW w:w="14400" w:type="dxa"/>
        <w:tblLook w:val="04A0" w:firstRow="1" w:lastRow="0" w:firstColumn="1" w:lastColumn="0" w:noHBand="0" w:noVBand="1"/>
      </w:tblPr>
      <w:tblGrid>
        <w:gridCol w:w="2964"/>
        <w:gridCol w:w="3606"/>
        <w:gridCol w:w="3913"/>
        <w:gridCol w:w="3917"/>
      </w:tblGrid>
      <w:tr w:rsidR="00F84792" w:rsidRPr="00D86989" w:rsidTr="00F84792">
        <w:trPr>
          <w:trHeight w:val="53"/>
        </w:trPr>
        <w:tc>
          <w:tcPr>
            <w:tcW w:w="2964" w:type="dxa"/>
          </w:tcPr>
          <w:p w:rsidR="008D4B27" w:rsidRPr="00D86989" w:rsidRDefault="008D4B27" w:rsidP="00F84792">
            <w:pPr>
              <w:rPr>
                <w:sz w:val="17"/>
                <w:szCs w:val="17"/>
              </w:rPr>
            </w:pPr>
          </w:p>
        </w:tc>
        <w:tc>
          <w:tcPr>
            <w:tcW w:w="3606" w:type="dxa"/>
          </w:tcPr>
          <w:p w:rsidR="008D4B27" w:rsidRPr="00D86989" w:rsidRDefault="00A97BB4" w:rsidP="00F84792">
            <w:pPr>
              <w:jc w:val="center"/>
              <w:rPr>
                <w:b/>
                <w:sz w:val="17"/>
                <w:szCs w:val="17"/>
              </w:rPr>
            </w:pPr>
            <w:r>
              <w:rPr>
                <w:b/>
                <w:sz w:val="17"/>
                <w:szCs w:val="17"/>
              </w:rPr>
              <w:t xml:space="preserve">Active </w:t>
            </w:r>
            <w:r w:rsidR="002C5C3B" w:rsidRPr="00D86989">
              <w:rPr>
                <w:b/>
                <w:sz w:val="17"/>
                <w:szCs w:val="17"/>
              </w:rPr>
              <w:t>2014-2015</w:t>
            </w:r>
          </w:p>
        </w:tc>
        <w:tc>
          <w:tcPr>
            <w:tcW w:w="3913" w:type="dxa"/>
          </w:tcPr>
          <w:p w:rsidR="008D4B27" w:rsidRPr="00D86989" w:rsidRDefault="00A97BB4" w:rsidP="00F84792">
            <w:pPr>
              <w:jc w:val="center"/>
              <w:rPr>
                <w:b/>
                <w:sz w:val="17"/>
                <w:szCs w:val="17"/>
              </w:rPr>
            </w:pPr>
            <w:r>
              <w:rPr>
                <w:b/>
                <w:sz w:val="17"/>
                <w:szCs w:val="17"/>
              </w:rPr>
              <w:t xml:space="preserve">Active </w:t>
            </w:r>
            <w:r w:rsidR="002C5C3B" w:rsidRPr="00D86989">
              <w:rPr>
                <w:b/>
                <w:sz w:val="17"/>
                <w:szCs w:val="17"/>
              </w:rPr>
              <w:t>2015-2016</w:t>
            </w:r>
          </w:p>
        </w:tc>
        <w:tc>
          <w:tcPr>
            <w:tcW w:w="3917" w:type="dxa"/>
          </w:tcPr>
          <w:p w:rsidR="008D4B27" w:rsidRPr="00D86989" w:rsidRDefault="00A97BB4" w:rsidP="00F84792">
            <w:pPr>
              <w:jc w:val="center"/>
              <w:rPr>
                <w:b/>
                <w:sz w:val="17"/>
                <w:szCs w:val="17"/>
              </w:rPr>
            </w:pPr>
            <w:r>
              <w:rPr>
                <w:b/>
                <w:sz w:val="17"/>
                <w:szCs w:val="17"/>
              </w:rPr>
              <w:t xml:space="preserve">Active </w:t>
            </w:r>
            <w:r w:rsidR="002C5C3B" w:rsidRPr="00D86989">
              <w:rPr>
                <w:b/>
                <w:sz w:val="17"/>
                <w:szCs w:val="17"/>
              </w:rPr>
              <w:t>2016-2017</w:t>
            </w:r>
          </w:p>
        </w:tc>
      </w:tr>
      <w:tr w:rsidR="00F84792" w:rsidRPr="00D86989" w:rsidTr="00F84792">
        <w:trPr>
          <w:trHeight w:val="1439"/>
        </w:trPr>
        <w:tc>
          <w:tcPr>
            <w:tcW w:w="2964" w:type="dxa"/>
          </w:tcPr>
          <w:p w:rsidR="008D4B27" w:rsidRPr="00D86989" w:rsidRDefault="00912F6B" w:rsidP="00F84792">
            <w:pPr>
              <w:rPr>
                <w:b/>
                <w:sz w:val="17"/>
                <w:szCs w:val="17"/>
              </w:rPr>
            </w:pPr>
            <w:r w:rsidRPr="00D86989">
              <w:rPr>
                <w:b/>
                <w:sz w:val="17"/>
                <w:szCs w:val="17"/>
              </w:rPr>
              <w:t>SB</w:t>
            </w:r>
            <w:r w:rsidR="008D4B27" w:rsidRPr="00D86989">
              <w:rPr>
                <w:b/>
                <w:sz w:val="17"/>
                <w:szCs w:val="17"/>
              </w:rPr>
              <w:t xml:space="preserve"> Policy 3801</w:t>
            </w:r>
          </w:p>
          <w:p w:rsidR="00FE49C1" w:rsidRPr="00D86989" w:rsidRDefault="00FE49C1" w:rsidP="00F84792">
            <w:pPr>
              <w:rPr>
                <w:sz w:val="17"/>
                <w:szCs w:val="17"/>
              </w:rPr>
            </w:pPr>
            <w:r w:rsidRPr="00D86989">
              <w:rPr>
                <w:i/>
                <w:iCs/>
                <w:sz w:val="17"/>
                <w:szCs w:val="17"/>
              </w:rPr>
              <w:t xml:space="preserve">Policies for Subject Area Testing </w:t>
            </w:r>
          </w:p>
          <w:p w:rsidR="008C1A9A" w:rsidRPr="00D86989" w:rsidRDefault="008C1A9A" w:rsidP="00F84792">
            <w:pPr>
              <w:rPr>
                <w:sz w:val="17"/>
                <w:szCs w:val="17"/>
              </w:rPr>
            </w:pPr>
            <w:r w:rsidRPr="00D86989">
              <w:rPr>
                <w:b/>
                <w:sz w:val="17"/>
                <w:szCs w:val="17"/>
              </w:rPr>
              <w:t>Not retroactive.</w:t>
            </w:r>
          </w:p>
        </w:tc>
        <w:tc>
          <w:tcPr>
            <w:tcW w:w="3606" w:type="dxa"/>
          </w:tcPr>
          <w:p w:rsidR="008D4B27" w:rsidRPr="00D86989" w:rsidRDefault="002A185D" w:rsidP="00F84792">
            <w:pPr>
              <w:rPr>
                <w:sz w:val="17"/>
                <w:szCs w:val="17"/>
              </w:rPr>
            </w:pPr>
            <w:r w:rsidRPr="00D86989">
              <w:rPr>
                <w:sz w:val="17"/>
                <w:szCs w:val="17"/>
              </w:rPr>
              <w:t>S</w:t>
            </w:r>
            <w:r w:rsidR="00BC4C0C" w:rsidRPr="00D86989">
              <w:rPr>
                <w:sz w:val="17"/>
                <w:szCs w:val="17"/>
              </w:rPr>
              <w:t xml:space="preserve">tudents shall not be required to pass any end-of-course Subject Area Test in a course for which the student earns or receives credit in a Mississippi public school as a requirement for graduation. Student performance on the end-of-course Subject Area Test shall be considered, along with the overall course grade based on the SBE approved Concordance Table as referenced in State Board Policy 3803 and provided to school districts by the </w:t>
            </w:r>
            <w:r w:rsidRPr="00D86989">
              <w:rPr>
                <w:sz w:val="17"/>
                <w:szCs w:val="17"/>
              </w:rPr>
              <w:t>MDE.</w:t>
            </w:r>
          </w:p>
        </w:tc>
        <w:tc>
          <w:tcPr>
            <w:tcW w:w="3913" w:type="dxa"/>
          </w:tcPr>
          <w:p w:rsidR="008D4B27" w:rsidRPr="00D86989" w:rsidRDefault="008D4B27" w:rsidP="00F84792">
            <w:pPr>
              <w:rPr>
                <w:sz w:val="17"/>
                <w:szCs w:val="17"/>
              </w:rPr>
            </w:pPr>
          </w:p>
        </w:tc>
        <w:tc>
          <w:tcPr>
            <w:tcW w:w="3917" w:type="dxa"/>
          </w:tcPr>
          <w:p w:rsidR="008D4B27" w:rsidRPr="00D86989" w:rsidRDefault="008D4B27" w:rsidP="00F84792">
            <w:pPr>
              <w:rPr>
                <w:sz w:val="17"/>
                <w:szCs w:val="17"/>
              </w:rPr>
            </w:pPr>
          </w:p>
        </w:tc>
      </w:tr>
      <w:tr w:rsidR="00F84792" w:rsidRPr="00D86989" w:rsidTr="00F84792">
        <w:trPr>
          <w:trHeight w:val="440"/>
        </w:trPr>
        <w:tc>
          <w:tcPr>
            <w:tcW w:w="2964" w:type="dxa"/>
          </w:tcPr>
          <w:p w:rsidR="008C1A9A" w:rsidRPr="00D86989" w:rsidRDefault="00912F6B" w:rsidP="00F84792">
            <w:pPr>
              <w:rPr>
                <w:sz w:val="17"/>
                <w:szCs w:val="17"/>
              </w:rPr>
            </w:pPr>
            <w:r w:rsidRPr="00D86989">
              <w:rPr>
                <w:b/>
                <w:sz w:val="17"/>
                <w:szCs w:val="17"/>
              </w:rPr>
              <w:t>SB</w:t>
            </w:r>
            <w:r w:rsidR="008D4B27" w:rsidRPr="00D86989">
              <w:rPr>
                <w:b/>
                <w:sz w:val="17"/>
                <w:szCs w:val="17"/>
              </w:rPr>
              <w:t xml:space="preserve"> Policy 3802</w:t>
            </w:r>
            <w:r w:rsidR="008C1A9A" w:rsidRPr="00D86989">
              <w:rPr>
                <w:sz w:val="17"/>
                <w:szCs w:val="17"/>
              </w:rPr>
              <w:t xml:space="preserve"> </w:t>
            </w:r>
          </w:p>
          <w:p w:rsidR="00FE49C1" w:rsidRPr="00D86989" w:rsidRDefault="00FE49C1" w:rsidP="00F84792">
            <w:pPr>
              <w:rPr>
                <w:sz w:val="17"/>
                <w:szCs w:val="17"/>
              </w:rPr>
            </w:pPr>
            <w:r w:rsidRPr="00D86989">
              <w:rPr>
                <w:i/>
                <w:iCs/>
                <w:sz w:val="17"/>
                <w:szCs w:val="17"/>
              </w:rPr>
              <w:t xml:space="preserve">Policies for Carnegie Unit Credit </w:t>
            </w:r>
          </w:p>
          <w:p w:rsidR="000C72AC" w:rsidRPr="00D86989" w:rsidRDefault="000C72AC" w:rsidP="00F84792">
            <w:pPr>
              <w:rPr>
                <w:b/>
                <w:sz w:val="17"/>
                <w:szCs w:val="17"/>
              </w:rPr>
            </w:pPr>
            <w:r w:rsidRPr="00D86989">
              <w:rPr>
                <w:b/>
                <w:sz w:val="17"/>
                <w:szCs w:val="17"/>
              </w:rPr>
              <w:t>Not Retroacti</w:t>
            </w:r>
            <w:r w:rsidR="002A185D" w:rsidRPr="00D86989">
              <w:rPr>
                <w:b/>
                <w:sz w:val="17"/>
                <w:szCs w:val="17"/>
              </w:rPr>
              <w:t>v</w:t>
            </w:r>
            <w:r w:rsidRPr="00D86989">
              <w:rPr>
                <w:b/>
                <w:sz w:val="17"/>
                <w:szCs w:val="17"/>
              </w:rPr>
              <w:t>e</w:t>
            </w:r>
          </w:p>
        </w:tc>
        <w:tc>
          <w:tcPr>
            <w:tcW w:w="3606" w:type="dxa"/>
          </w:tcPr>
          <w:p w:rsidR="008D4B27" w:rsidRPr="00D86989" w:rsidRDefault="008D4B27" w:rsidP="00F84792">
            <w:pPr>
              <w:rPr>
                <w:sz w:val="17"/>
                <w:szCs w:val="17"/>
              </w:rPr>
            </w:pPr>
          </w:p>
        </w:tc>
        <w:tc>
          <w:tcPr>
            <w:tcW w:w="3913" w:type="dxa"/>
          </w:tcPr>
          <w:p w:rsidR="008D4B27" w:rsidRPr="00D86989" w:rsidRDefault="00D86989" w:rsidP="00F84792">
            <w:pPr>
              <w:rPr>
                <w:sz w:val="17"/>
                <w:szCs w:val="17"/>
              </w:rPr>
            </w:pPr>
            <w:r w:rsidRPr="00D86989">
              <w:rPr>
                <w:sz w:val="17"/>
                <w:szCs w:val="17"/>
              </w:rPr>
              <w:t xml:space="preserve">All students enrolled in one (1) of the four (4) end-of-course Subject Area Test courses must pass the course and participate in the applicable end-of-course Subject Area Test in order to earn the Carnegie Unit. </w:t>
            </w:r>
            <w:r w:rsidRPr="00D86989">
              <w:rPr>
                <w:sz w:val="17"/>
                <w:szCs w:val="17"/>
              </w:rPr>
              <w:t>No opting out of testing if Carnegie unit is desired.</w:t>
            </w:r>
          </w:p>
        </w:tc>
        <w:tc>
          <w:tcPr>
            <w:tcW w:w="3917" w:type="dxa"/>
          </w:tcPr>
          <w:p w:rsidR="008D4B27" w:rsidRPr="00D86989" w:rsidRDefault="008D4B27" w:rsidP="00F84792">
            <w:pPr>
              <w:rPr>
                <w:sz w:val="17"/>
                <w:szCs w:val="17"/>
              </w:rPr>
            </w:pPr>
          </w:p>
        </w:tc>
      </w:tr>
      <w:tr w:rsidR="00F84792" w:rsidRPr="00D86989" w:rsidTr="00F84792">
        <w:tc>
          <w:tcPr>
            <w:tcW w:w="2964" w:type="dxa"/>
          </w:tcPr>
          <w:p w:rsidR="00FE49C1" w:rsidRPr="00D86989" w:rsidRDefault="00912F6B" w:rsidP="00F84792">
            <w:pPr>
              <w:rPr>
                <w:sz w:val="17"/>
                <w:szCs w:val="17"/>
              </w:rPr>
            </w:pPr>
            <w:r w:rsidRPr="00D86989">
              <w:rPr>
                <w:b/>
                <w:sz w:val="17"/>
                <w:szCs w:val="17"/>
              </w:rPr>
              <w:t>SB</w:t>
            </w:r>
            <w:r w:rsidR="008D4B27" w:rsidRPr="00D86989">
              <w:rPr>
                <w:b/>
                <w:sz w:val="17"/>
                <w:szCs w:val="17"/>
              </w:rPr>
              <w:t xml:space="preserve"> Policy 3803</w:t>
            </w:r>
            <w:r w:rsidR="008C1A9A" w:rsidRPr="00D86989">
              <w:rPr>
                <w:sz w:val="17"/>
                <w:szCs w:val="17"/>
              </w:rPr>
              <w:t xml:space="preserve"> </w:t>
            </w:r>
          </w:p>
          <w:p w:rsidR="00FE49C1" w:rsidRPr="00D86989" w:rsidRDefault="00FE49C1" w:rsidP="00F84792">
            <w:pPr>
              <w:rPr>
                <w:i/>
                <w:sz w:val="17"/>
                <w:szCs w:val="17"/>
              </w:rPr>
            </w:pPr>
            <w:r w:rsidRPr="00D86989">
              <w:rPr>
                <w:i/>
                <w:sz w:val="17"/>
                <w:szCs w:val="17"/>
              </w:rPr>
              <w:t>Assessments Required for Graduation</w:t>
            </w:r>
          </w:p>
          <w:p w:rsidR="008C1A9A" w:rsidRPr="00D86989" w:rsidRDefault="008C1A9A" w:rsidP="00F84792">
            <w:pPr>
              <w:rPr>
                <w:sz w:val="17"/>
                <w:szCs w:val="17"/>
              </w:rPr>
            </w:pPr>
            <w:r w:rsidRPr="00D86989">
              <w:rPr>
                <w:sz w:val="17"/>
                <w:szCs w:val="17"/>
              </w:rPr>
              <w:t>Removes passing an end</w:t>
            </w:r>
            <w:r w:rsidRPr="00D86989">
              <w:rPr>
                <w:sz w:val="17"/>
                <w:szCs w:val="17"/>
              </w:rPr>
              <w:softHyphen/>
              <w:t>-of-course Subject Area Test as a requirement for graduation and incorporates the score on the applicable assessment into the final grade in the course.</w:t>
            </w:r>
          </w:p>
          <w:p w:rsidR="008D4B27" w:rsidRPr="00D86989" w:rsidRDefault="008D4B27" w:rsidP="00F84792">
            <w:pPr>
              <w:rPr>
                <w:sz w:val="17"/>
                <w:szCs w:val="17"/>
              </w:rPr>
            </w:pPr>
          </w:p>
        </w:tc>
        <w:tc>
          <w:tcPr>
            <w:tcW w:w="3606" w:type="dxa"/>
          </w:tcPr>
          <w:p w:rsidR="008D4B27" w:rsidRPr="00D86989" w:rsidRDefault="008C1A9A" w:rsidP="00F84792">
            <w:pPr>
              <w:pStyle w:val="ListParagraph"/>
              <w:numPr>
                <w:ilvl w:val="0"/>
                <w:numId w:val="3"/>
              </w:numPr>
              <w:ind w:left="340"/>
              <w:rPr>
                <w:sz w:val="17"/>
                <w:szCs w:val="17"/>
              </w:rPr>
            </w:pPr>
            <w:r w:rsidRPr="00D86989">
              <w:rPr>
                <w:sz w:val="17"/>
                <w:szCs w:val="17"/>
              </w:rPr>
              <w:t>All students must take end of course test.</w:t>
            </w:r>
          </w:p>
          <w:p w:rsidR="008C1A9A" w:rsidRPr="00D86989" w:rsidRDefault="008C1A9A" w:rsidP="00F84792">
            <w:pPr>
              <w:pStyle w:val="ListParagraph"/>
              <w:numPr>
                <w:ilvl w:val="0"/>
                <w:numId w:val="3"/>
              </w:numPr>
              <w:ind w:left="340"/>
              <w:rPr>
                <w:sz w:val="17"/>
                <w:szCs w:val="17"/>
              </w:rPr>
            </w:pPr>
            <w:r w:rsidRPr="00D86989">
              <w:rPr>
                <w:sz w:val="17"/>
                <w:szCs w:val="17"/>
              </w:rPr>
              <w:t>Students shall graduate by passing the course and meeting one (1) of the following options:</w:t>
            </w:r>
          </w:p>
          <w:p w:rsidR="008C1A9A" w:rsidRPr="00D86989" w:rsidRDefault="008C1A9A" w:rsidP="00F84792">
            <w:pPr>
              <w:pStyle w:val="ListParagraph"/>
              <w:numPr>
                <w:ilvl w:val="0"/>
                <w:numId w:val="1"/>
              </w:numPr>
              <w:rPr>
                <w:sz w:val="17"/>
                <w:szCs w:val="17"/>
              </w:rPr>
            </w:pPr>
            <w:r w:rsidRPr="00D86989">
              <w:rPr>
                <w:sz w:val="17"/>
                <w:szCs w:val="17"/>
              </w:rPr>
              <w:t>Passing the applicable end-of-course Subject Area Test;</w:t>
            </w:r>
            <w:r w:rsidRPr="00D86989">
              <w:rPr>
                <w:b/>
                <w:i/>
                <w:sz w:val="17"/>
                <w:szCs w:val="17"/>
              </w:rPr>
              <w:t xml:space="preserve"> or</w:t>
            </w:r>
          </w:p>
          <w:p w:rsidR="008C1A9A" w:rsidRPr="00D86989" w:rsidRDefault="008C1A9A" w:rsidP="00F84792">
            <w:pPr>
              <w:pStyle w:val="ListParagraph"/>
              <w:numPr>
                <w:ilvl w:val="0"/>
                <w:numId w:val="1"/>
              </w:numPr>
              <w:rPr>
                <w:sz w:val="17"/>
                <w:szCs w:val="17"/>
              </w:rPr>
            </w:pPr>
            <w:r w:rsidRPr="00D86989">
              <w:rPr>
                <w:sz w:val="17"/>
                <w:szCs w:val="17"/>
              </w:rPr>
              <w:t>Using one of the options outlined in State Board Policy 3804</w:t>
            </w:r>
            <w:r w:rsidR="00F84792" w:rsidRPr="00D86989">
              <w:rPr>
                <w:sz w:val="17"/>
                <w:szCs w:val="17"/>
              </w:rPr>
              <w:t xml:space="preserve"> </w:t>
            </w:r>
            <w:r w:rsidR="00F84792" w:rsidRPr="00D86989">
              <w:rPr>
                <w:b/>
                <w:sz w:val="17"/>
                <w:szCs w:val="17"/>
              </w:rPr>
              <w:t>(Retroactive)</w:t>
            </w:r>
            <w:r w:rsidRPr="00D86989">
              <w:rPr>
                <w:sz w:val="17"/>
                <w:szCs w:val="17"/>
              </w:rPr>
              <w:t xml:space="preserve">; </w:t>
            </w:r>
            <w:r w:rsidRPr="00D86989">
              <w:rPr>
                <w:b/>
                <w:i/>
                <w:sz w:val="17"/>
                <w:szCs w:val="17"/>
              </w:rPr>
              <w:t>or</w:t>
            </w:r>
            <w:r w:rsidRPr="00D86989">
              <w:rPr>
                <w:sz w:val="17"/>
                <w:szCs w:val="17"/>
              </w:rPr>
              <w:t xml:space="preserve"> </w:t>
            </w:r>
          </w:p>
          <w:p w:rsidR="008C1A9A" w:rsidRPr="00D86989" w:rsidRDefault="003009FC" w:rsidP="00F84792">
            <w:pPr>
              <w:pStyle w:val="ListParagraph"/>
              <w:numPr>
                <w:ilvl w:val="0"/>
                <w:numId w:val="1"/>
              </w:numPr>
              <w:rPr>
                <w:b/>
                <w:sz w:val="17"/>
                <w:szCs w:val="17"/>
              </w:rPr>
            </w:pPr>
            <w:r w:rsidRPr="00D86989">
              <w:rPr>
                <w:sz w:val="17"/>
                <w:szCs w:val="17"/>
              </w:rPr>
              <w:t xml:space="preserve">Using the end-of-course Subject Area Test score with the overall course grade based on the SBE </w:t>
            </w:r>
            <w:r w:rsidR="008C1A9A" w:rsidRPr="00D86989">
              <w:rPr>
                <w:sz w:val="17"/>
                <w:szCs w:val="17"/>
              </w:rPr>
              <w:t>a</w:t>
            </w:r>
            <w:r w:rsidRPr="00D86989">
              <w:rPr>
                <w:sz w:val="17"/>
                <w:szCs w:val="17"/>
              </w:rPr>
              <w:t xml:space="preserve">pproved Concordance Table for each of the four (4) end-of-course Subject Area Tests as provided to school districts by the </w:t>
            </w:r>
            <w:r w:rsidR="000C72AC" w:rsidRPr="00D86989">
              <w:rPr>
                <w:sz w:val="17"/>
                <w:szCs w:val="17"/>
              </w:rPr>
              <w:t>MDE</w:t>
            </w:r>
            <w:r w:rsidRPr="00D86989">
              <w:rPr>
                <w:sz w:val="17"/>
                <w:szCs w:val="17"/>
              </w:rPr>
              <w:t>.</w:t>
            </w:r>
            <w:r w:rsidR="00F84792" w:rsidRPr="00D86989">
              <w:rPr>
                <w:sz w:val="17"/>
                <w:szCs w:val="17"/>
              </w:rPr>
              <w:t xml:space="preserve"> </w:t>
            </w:r>
            <w:r w:rsidR="00F84792" w:rsidRPr="00D86989">
              <w:rPr>
                <w:b/>
                <w:sz w:val="17"/>
                <w:szCs w:val="17"/>
              </w:rPr>
              <w:t>(Not Retroactive)</w:t>
            </w:r>
            <w:r w:rsidRPr="00D86989">
              <w:rPr>
                <w:sz w:val="17"/>
                <w:szCs w:val="17"/>
              </w:rPr>
              <w:t xml:space="preserve"> </w:t>
            </w:r>
          </w:p>
        </w:tc>
        <w:tc>
          <w:tcPr>
            <w:tcW w:w="3913" w:type="dxa"/>
          </w:tcPr>
          <w:p w:rsidR="00F249FC" w:rsidRPr="00D86989" w:rsidRDefault="003009FC" w:rsidP="00F84792">
            <w:pPr>
              <w:pStyle w:val="ListParagraph"/>
              <w:numPr>
                <w:ilvl w:val="0"/>
                <w:numId w:val="3"/>
              </w:numPr>
              <w:ind w:left="342"/>
              <w:rPr>
                <w:sz w:val="17"/>
                <w:szCs w:val="17"/>
              </w:rPr>
            </w:pPr>
            <w:r w:rsidRPr="00D86989">
              <w:rPr>
                <w:sz w:val="17"/>
                <w:szCs w:val="17"/>
              </w:rPr>
              <w:t xml:space="preserve">Beginning with school year 2015-2016, in addition to number 2, as previously discussed, all students enrolled may achieve a combined minimum score from </w:t>
            </w:r>
            <w:r w:rsidR="008E3C0B" w:rsidRPr="00831610">
              <w:rPr>
                <w:b/>
                <w:sz w:val="17"/>
                <w:szCs w:val="17"/>
              </w:rPr>
              <w:t>all four</w:t>
            </w:r>
            <w:r w:rsidRPr="00D86989">
              <w:rPr>
                <w:sz w:val="17"/>
                <w:szCs w:val="17"/>
              </w:rPr>
              <w:t xml:space="preserve"> end-of-course Subject Area Tests</w:t>
            </w:r>
            <w:r w:rsidR="00831610" w:rsidRPr="00D86989">
              <w:rPr>
                <w:sz w:val="17"/>
                <w:szCs w:val="17"/>
              </w:rPr>
              <w:t xml:space="preserve"> </w:t>
            </w:r>
            <w:r w:rsidR="00831610" w:rsidRPr="00D86989">
              <w:rPr>
                <w:sz w:val="17"/>
                <w:szCs w:val="17"/>
              </w:rPr>
              <w:t xml:space="preserve">based on the SBE approved Concordance Table </w:t>
            </w:r>
            <w:r w:rsidRPr="00D86989">
              <w:rPr>
                <w:sz w:val="17"/>
                <w:szCs w:val="17"/>
              </w:rPr>
              <w:t xml:space="preserve">to meet the requirement for graduation in lieu of passing </w:t>
            </w:r>
            <w:r w:rsidR="00831610" w:rsidRPr="00823A19">
              <w:rPr>
                <w:b/>
                <w:sz w:val="17"/>
                <w:szCs w:val="17"/>
              </w:rPr>
              <w:t>each</w:t>
            </w:r>
            <w:r w:rsidRPr="00D86989">
              <w:rPr>
                <w:sz w:val="17"/>
                <w:szCs w:val="17"/>
              </w:rPr>
              <w:t xml:space="preserve"> applicable end-of-course Subject Area Test.</w:t>
            </w:r>
            <w:r w:rsidR="00F84792" w:rsidRPr="00D86989">
              <w:rPr>
                <w:sz w:val="17"/>
                <w:szCs w:val="17"/>
              </w:rPr>
              <w:t xml:space="preserve"> </w:t>
            </w:r>
            <w:r w:rsidR="00F84792" w:rsidRPr="00D86989">
              <w:rPr>
                <w:b/>
                <w:sz w:val="17"/>
                <w:szCs w:val="17"/>
              </w:rPr>
              <w:t>(Not Retroactive)</w:t>
            </w:r>
          </w:p>
          <w:p w:rsidR="008D4B27" w:rsidRPr="00D86989" w:rsidRDefault="008D4B27" w:rsidP="00F84792">
            <w:pPr>
              <w:rPr>
                <w:sz w:val="17"/>
                <w:szCs w:val="17"/>
              </w:rPr>
            </w:pPr>
          </w:p>
        </w:tc>
        <w:tc>
          <w:tcPr>
            <w:tcW w:w="3917" w:type="dxa"/>
          </w:tcPr>
          <w:p w:rsidR="00F249FC" w:rsidRPr="00D86989" w:rsidRDefault="003009FC" w:rsidP="00F84792">
            <w:pPr>
              <w:numPr>
                <w:ilvl w:val="0"/>
                <w:numId w:val="7"/>
              </w:numPr>
              <w:tabs>
                <w:tab w:val="clear" w:pos="720"/>
              </w:tabs>
              <w:ind w:left="342"/>
              <w:rPr>
                <w:sz w:val="17"/>
                <w:szCs w:val="17"/>
              </w:rPr>
            </w:pPr>
            <w:r w:rsidRPr="00D86989">
              <w:rPr>
                <w:sz w:val="17"/>
                <w:szCs w:val="17"/>
              </w:rPr>
              <w:t>Beginning with school year 2016-2017, all students enrolled in an end</w:t>
            </w:r>
            <w:r w:rsidRPr="00D86989">
              <w:rPr>
                <w:sz w:val="17"/>
                <w:szCs w:val="17"/>
              </w:rPr>
              <w:softHyphen/>
              <w:t>-of-course Subject Area Test course for the first time must participate in the assessment in order to earn the Carnegie Unit. The assessment score will constitute 25% of the student's final grade in the course.</w:t>
            </w:r>
            <w:r w:rsidR="00F84792" w:rsidRPr="00D86989">
              <w:rPr>
                <w:sz w:val="17"/>
                <w:szCs w:val="17"/>
              </w:rPr>
              <w:t xml:space="preserve"> </w:t>
            </w:r>
            <w:r w:rsidR="00F84792" w:rsidRPr="00D86989">
              <w:rPr>
                <w:b/>
                <w:sz w:val="17"/>
                <w:szCs w:val="17"/>
              </w:rPr>
              <w:t>(Not Retroactive)</w:t>
            </w:r>
          </w:p>
          <w:p w:rsidR="00F249FC" w:rsidRPr="00D86989" w:rsidRDefault="003009FC" w:rsidP="00F84792">
            <w:pPr>
              <w:numPr>
                <w:ilvl w:val="0"/>
                <w:numId w:val="7"/>
              </w:numPr>
              <w:tabs>
                <w:tab w:val="clear" w:pos="720"/>
              </w:tabs>
              <w:ind w:left="342"/>
              <w:rPr>
                <w:sz w:val="17"/>
                <w:szCs w:val="17"/>
              </w:rPr>
            </w:pPr>
            <w:r w:rsidRPr="00D86989">
              <w:rPr>
                <w:sz w:val="17"/>
                <w:szCs w:val="17"/>
              </w:rPr>
              <w:t>Any Mississippi public school student who fails to pass a required end</w:t>
            </w:r>
            <w:r w:rsidRPr="00D86989">
              <w:rPr>
                <w:sz w:val="17"/>
                <w:szCs w:val="17"/>
              </w:rPr>
              <w:softHyphen/>
              <w:t>-of-course Subject Area Test, prior to school year 2016-2017, will be offered opportunities to retake the test.</w:t>
            </w:r>
            <w:r w:rsidR="00F84792" w:rsidRPr="00D86989">
              <w:rPr>
                <w:sz w:val="17"/>
                <w:szCs w:val="17"/>
              </w:rPr>
              <w:t xml:space="preserve"> </w:t>
            </w:r>
            <w:r w:rsidR="00F84792" w:rsidRPr="00D86989">
              <w:rPr>
                <w:b/>
                <w:sz w:val="17"/>
                <w:szCs w:val="17"/>
              </w:rPr>
              <w:t>(Not Retroactive)</w:t>
            </w:r>
          </w:p>
          <w:p w:rsidR="008D4B27" w:rsidRPr="00D86989" w:rsidRDefault="008D4B27" w:rsidP="00F84792">
            <w:pPr>
              <w:rPr>
                <w:sz w:val="17"/>
                <w:szCs w:val="17"/>
              </w:rPr>
            </w:pPr>
          </w:p>
        </w:tc>
      </w:tr>
      <w:tr w:rsidR="00F84792" w:rsidRPr="00D86989" w:rsidTr="00F84792">
        <w:trPr>
          <w:trHeight w:val="3096"/>
        </w:trPr>
        <w:tc>
          <w:tcPr>
            <w:tcW w:w="2964" w:type="dxa"/>
          </w:tcPr>
          <w:p w:rsidR="008D4B27" w:rsidRPr="00D86989" w:rsidRDefault="00912F6B" w:rsidP="00F84792">
            <w:pPr>
              <w:rPr>
                <w:b/>
                <w:sz w:val="17"/>
                <w:szCs w:val="17"/>
              </w:rPr>
            </w:pPr>
            <w:r w:rsidRPr="00D86989">
              <w:rPr>
                <w:b/>
                <w:sz w:val="17"/>
                <w:szCs w:val="17"/>
              </w:rPr>
              <w:t>SB</w:t>
            </w:r>
            <w:r w:rsidR="008D4B27" w:rsidRPr="00D86989">
              <w:rPr>
                <w:b/>
                <w:sz w:val="17"/>
                <w:szCs w:val="17"/>
              </w:rPr>
              <w:t xml:space="preserve"> Policy 3804</w:t>
            </w:r>
          </w:p>
          <w:p w:rsidR="00FE49C1" w:rsidRPr="00D86989" w:rsidRDefault="00FE49C1" w:rsidP="00F84792">
            <w:pPr>
              <w:rPr>
                <w:i/>
                <w:sz w:val="17"/>
                <w:szCs w:val="17"/>
              </w:rPr>
            </w:pPr>
            <w:r w:rsidRPr="00D86989">
              <w:rPr>
                <w:i/>
                <w:sz w:val="17"/>
                <w:szCs w:val="17"/>
              </w:rPr>
              <w:t>Additional Assessment Options for Meeting End-of-Course Subject Area Test Graduation Requirements</w:t>
            </w:r>
          </w:p>
          <w:p w:rsidR="000C72AC" w:rsidRPr="00D86989" w:rsidRDefault="000C72AC" w:rsidP="00F84792">
            <w:pPr>
              <w:rPr>
                <w:sz w:val="17"/>
                <w:szCs w:val="17"/>
              </w:rPr>
            </w:pPr>
            <w:r w:rsidRPr="00D86989">
              <w:rPr>
                <w:sz w:val="17"/>
                <w:szCs w:val="17"/>
              </w:rPr>
              <w:t xml:space="preserve">Provides approved options for students to meet high school end-of-course Subject Area Test requirements for graduation through approved alternate measures. </w:t>
            </w:r>
          </w:p>
          <w:p w:rsidR="000C72AC" w:rsidRPr="00D86989" w:rsidRDefault="000C72AC" w:rsidP="00F84792">
            <w:pPr>
              <w:rPr>
                <w:b/>
                <w:sz w:val="17"/>
                <w:szCs w:val="17"/>
              </w:rPr>
            </w:pPr>
            <w:r w:rsidRPr="00D86989">
              <w:rPr>
                <w:b/>
                <w:sz w:val="17"/>
                <w:szCs w:val="17"/>
              </w:rPr>
              <w:t>Retroactive</w:t>
            </w:r>
          </w:p>
        </w:tc>
        <w:tc>
          <w:tcPr>
            <w:tcW w:w="3606" w:type="dxa"/>
          </w:tcPr>
          <w:p w:rsidR="00F249FC" w:rsidRPr="00D86989" w:rsidRDefault="003009FC" w:rsidP="00F84792">
            <w:pPr>
              <w:rPr>
                <w:sz w:val="17"/>
                <w:szCs w:val="17"/>
              </w:rPr>
            </w:pPr>
            <w:r w:rsidRPr="00D86989">
              <w:rPr>
                <w:sz w:val="17"/>
                <w:szCs w:val="17"/>
              </w:rPr>
              <w:t>The revision allows a student to meet the graduation requirements once he or she has failed to pass any required end-of-course Subject Area Test one (1) time.</w:t>
            </w:r>
            <w:r w:rsidR="00F84792" w:rsidRPr="00D86989">
              <w:rPr>
                <w:sz w:val="17"/>
                <w:szCs w:val="17"/>
              </w:rPr>
              <w:br/>
            </w:r>
          </w:p>
          <w:p w:rsidR="00F84792" w:rsidRPr="00D86989" w:rsidRDefault="00F84792" w:rsidP="00F84792">
            <w:pPr>
              <w:rPr>
                <w:sz w:val="17"/>
                <w:szCs w:val="17"/>
              </w:rPr>
            </w:pPr>
            <w:r w:rsidRPr="00D86989">
              <w:rPr>
                <w:noProof/>
                <w:sz w:val="17"/>
                <w:szCs w:val="17"/>
              </w:rPr>
              <w:drawing>
                <wp:inline distT="0" distB="0" distL="0" distR="0" wp14:anchorId="1E741FC2" wp14:editId="15706766">
                  <wp:extent cx="2151263" cy="11464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6724" cy="1181296"/>
                          </a:xfrm>
                          <a:prstGeom prst="rect">
                            <a:avLst/>
                          </a:prstGeom>
                        </pic:spPr>
                      </pic:pic>
                    </a:graphicData>
                  </a:graphic>
                </wp:inline>
              </w:drawing>
            </w:r>
          </w:p>
          <w:p w:rsidR="008D4B27" w:rsidRPr="00D86989" w:rsidRDefault="008D4B27" w:rsidP="00F84792">
            <w:pPr>
              <w:rPr>
                <w:b/>
                <w:sz w:val="17"/>
                <w:szCs w:val="17"/>
              </w:rPr>
            </w:pPr>
          </w:p>
        </w:tc>
        <w:tc>
          <w:tcPr>
            <w:tcW w:w="3913" w:type="dxa"/>
          </w:tcPr>
          <w:p w:rsidR="008D4B27" w:rsidRPr="00D86989" w:rsidRDefault="008D4B27" w:rsidP="00F84792">
            <w:pPr>
              <w:rPr>
                <w:sz w:val="17"/>
                <w:szCs w:val="17"/>
              </w:rPr>
            </w:pPr>
            <w:bookmarkStart w:id="0" w:name="_GoBack"/>
            <w:bookmarkEnd w:id="0"/>
          </w:p>
        </w:tc>
        <w:tc>
          <w:tcPr>
            <w:tcW w:w="3917" w:type="dxa"/>
          </w:tcPr>
          <w:p w:rsidR="008D4B27" w:rsidRPr="00D86989" w:rsidRDefault="008E3C0B" w:rsidP="00F84792">
            <w:pPr>
              <w:rPr>
                <w:sz w:val="17"/>
                <w:szCs w:val="17"/>
              </w:rPr>
            </w:pPr>
            <w:r>
              <w:rPr>
                <w:sz w:val="17"/>
                <w:szCs w:val="17"/>
              </w:rPr>
              <w:t xml:space="preserve">SB Policy 3804 </w:t>
            </w:r>
            <w:r w:rsidRPr="008E3C0B">
              <w:rPr>
                <w:b/>
                <w:sz w:val="17"/>
                <w:szCs w:val="17"/>
              </w:rPr>
              <w:t>ends</w:t>
            </w:r>
            <w:r>
              <w:rPr>
                <w:sz w:val="17"/>
                <w:szCs w:val="17"/>
              </w:rPr>
              <w:t xml:space="preserve"> with the implementation of the 2016-2017 revision of SB Policy 3803. </w:t>
            </w:r>
          </w:p>
        </w:tc>
      </w:tr>
    </w:tbl>
    <w:p w:rsidR="00272B81" w:rsidRDefault="00272B81" w:rsidP="008D4B27"/>
    <w:sectPr w:rsidR="00272B81" w:rsidSect="002A185D">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91" w:rsidRDefault="00192491" w:rsidP="00F84792">
      <w:pPr>
        <w:spacing w:after="0" w:line="240" w:lineRule="auto"/>
      </w:pPr>
      <w:r>
        <w:separator/>
      </w:r>
    </w:p>
  </w:endnote>
  <w:endnote w:type="continuationSeparator" w:id="0">
    <w:p w:rsidR="00192491" w:rsidRDefault="00192491" w:rsidP="00F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91" w:rsidRDefault="00192491" w:rsidP="00F84792">
      <w:pPr>
        <w:spacing w:after="0" w:line="240" w:lineRule="auto"/>
      </w:pPr>
      <w:r>
        <w:separator/>
      </w:r>
    </w:p>
  </w:footnote>
  <w:footnote w:type="continuationSeparator" w:id="0">
    <w:p w:rsidR="00192491" w:rsidRDefault="00192491" w:rsidP="00F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89" w:rsidRDefault="00F84792" w:rsidP="00D86989">
    <w:pPr>
      <w:pStyle w:val="Header"/>
      <w:jc w:val="center"/>
    </w:pPr>
    <w:r>
      <w:t>State Board Policies, 3800 Series</w:t>
    </w:r>
    <w:r w:rsidR="00D86989">
      <w:t>: Graduation Requirements, Revisions as of 5/15</w:t>
    </w:r>
  </w:p>
  <w:p w:rsidR="00D86989" w:rsidRDefault="00D8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533"/>
    <w:multiLevelType w:val="hybridMultilevel"/>
    <w:tmpl w:val="543E4518"/>
    <w:lvl w:ilvl="0" w:tplc="0C1E2092">
      <w:start w:val="1"/>
      <w:numFmt w:val="bullet"/>
      <w:lvlText w:val="•"/>
      <w:lvlJc w:val="left"/>
      <w:pPr>
        <w:tabs>
          <w:tab w:val="num" w:pos="720"/>
        </w:tabs>
        <w:ind w:left="720" w:hanging="360"/>
      </w:pPr>
      <w:rPr>
        <w:rFonts w:ascii="Arial" w:hAnsi="Arial" w:hint="default"/>
      </w:rPr>
    </w:lvl>
    <w:lvl w:ilvl="1" w:tplc="0368F52C" w:tentative="1">
      <w:start w:val="1"/>
      <w:numFmt w:val="bullet"/>
      <w:lvlText w:val="•"/>
      <w:lvlJc w:val="left"/>
      <w:pPr>
        <w:tabs>
          <w:tab w:val="num" w:pos="1440"/>
        </w:tabs>
        <w:ind w:left="1440" w:hanging="360"/>
      </w:pPr>
      <w:rPr>
        <w:rFonts w:ascii="Arial" w:hAnsi="Arial" w:hint="default"/>
      </w:rPr>
    </w:lvl>
    <w:lvl w:ilvl="2" w:tplc="619E5AEA" w:tentative="1">
      <w:start w:val="1"/>
      <w:numFmt w:val="bullet"/>
      <w:lvlText w:val="•"/>
      <w:lvlJc w:val="left"/>
      <w:pPr>
        <w:tabs>
          <w:tab w:val="num" w:pos="2160"/>
        </w:tabs>
        <w:ind w:left="2160" w:hanging="360"/>
      </w:pPr>
      <w:rPr>
        <w:rFonts w:ascii="Arial" w:hAnsi="Arial" w:hint="default"/>
      </w:rPr>
    </w:lvl>
    <w:lvl w:ilvl="3" w:tplc="58AE6386" w:tentative="1">
      <w:start w:val="1"/>
      <w:numFmt w:val="bullet"/>
      <w:lvlText w:val="•"/>
      <w:lvlJc w:val="left"/>
      <w:pPr>
        <w:tabs>
          <w:tab w:val="num" w:pos="2880"/>
        </w:tabs>
        <w:ind w:left="2880" w:hanging="360"/>
      </w:pPr>
      <w:rPr>
        <w:rFonts w:ascii="Arial" w:hAnsi="Arial" w:hint="default"/>
      </w:rPr>
    </w:lvl>
    <w:lvl w:ilvl="4" w:tplc="7126615C" w:tentative="1">
      <w:start w:val="1"/>
      <w:numFmt w:val="bullet"/>
      <w:lvlText w:val="•"/>
      <w:lvlJc w:val="left"/>
      <w:pPr>
        <w:tabs>
          <w:tab w:val="num" w:pos="3600"/>
        </w:tabs>
        <w:ind w:left="3600" w:hanging="360"/>
      </w:pPr>
      <w:rPr>
        <w:rFonts w:ascii="Arial" w:hAnsi="Arial" w:hint="default"/>
      </w:rPr>
    </w:lvl>
    <w:lvl w:ilvl="5" w:tplc="9006C9AC" w:tentative="1">
      <w:start w:val="1"/>
      <w:numFmt w:val="bullet"/>
      <w:lvlText w:val="•"/>
      <w:lvlJc w:val="left"/>
      <w:pPr>
        <w:tabs>
          <w:tab w:val="num" w:pos="4320"/>
        </w:tabs>
        <w:ind w:left="4320" w:hanging="360"/>
      </w:pPr>
      <w:rPr>
        <w:rFonts w:ascii="Arial" w:hAnsi="Arial" w:hint="default"/>
      </w:rPr>
    </w:lvl>
    <w:lvl w:ilvl="6" w:tplc="70BEB0C4" w:tentative="1">
      <w:start w:val="1"/>
      <w:numFmt w:val="bullet"/>
      <w:lvlText w:val="•"/>
      <w:lvlJc w:val="left"/>
      <w:pPr>
        <w:tabs>
          <w:tab w:val="num" w:pos="5040"/>
        </w:tabs>
        <w:ind w:left="5040" w:hanging="360"/>
      </w:pPr>
      <w:rPr>
        <w:rFonts w:ascii="Arial" w:hAnsi="Arial" w:hint="default"/>
      </w:rPr>
    </w:lvl>
    <w:lvl w:ilvl="7" w:tplc="F3C21412" w:tentative="1">
      <w:start w:val="1"/>
      <w:numFmt w:val="bullet"/>
      <w:lvlText w:val="•"/>
      <w:lvlJc w:val="left"/>
      <w:pPr>
        <w:tabs>
          <w:tab w:val="num" w:pos="5760"/>
        </w:tabs>
        <w:ind w:left="5760" w:hanging="360"/>
      </w:pPr>
      <w:rPr>
        <w:rFonts w:ascii="Arial" w:hAnsi="Arial" w:hint="default"/>
      </w:rPr>
    </w:lvl>
    <w:lvl w:ilvl="8" w:tplc="4A38B94A" w:tentative="1">
      <w:start w:val="1"/>
      <w:numFmt w:val="bullet"/>
      <w:lvlText w:val="•"/>
      <w:lvlJc w:val="left"/>
      <w:pPr>
        <w:tabs>
          <w:tab w:val="num" w:pos="6480"/>
        </w:tabs>
        <w:ind w:left="6480" w:hanging="360"/>
      </w:pPr>
      <w:rPr>
        <w:rFonts w:ascii="Arial" w:hAnsi="Arial" w:hint="default"/>
      </w:rPr>
    </w:lvl>
  </w:abstractNum>
  <w:abstractNum w:abstractNumId="1">
    <w:nsid w:val="0D511733"/>
    <w:multiLevelType w:val="hybridMultilevel"/>
    <w:tmpl w:val="4642A334"/>
    <w:lvl w:ilvl="0" w:tplc="B18608CC">
      <w:start w:val="4"/>
      <w:numFmt w:val="decimal"/>
      <w:lvlText w:val="%1."/>
      <w:lvlJc w:val="left"/>
      <w:pPr>
        <w:tabs>
          <w:tab w:val="num" w:pos="720"/>
        </w:tabs>
        <w:ind w:left="720" w:hanging="360"/>
      </w:pPr>
      <w:rPr>
        <w:b/>
      </w:rPr>
    </w:lvl>
    <w:lvl w:ilvl="1" w:tplc="2DF2FEF6" w:tentative="1">
      <w:start w:val="1"/>
      <w:numFmt w:val="decimal"/>
      <w:lvlText w:val="%2."/>
      <w:lvlJc w:val="left"/>
      <w:pPr>
        <w:tabs>
          <w:tab w:val="num" w:pos="1440"/>
        </w:tabs>
        <w:ind w:left="1440" w:hanging="360"/>
      </w:pPr>
    </w:lvl>
    <w:lvl w:ilvl="2" w:tplc="D428A270" w:tentative="1">
      <w:start w:val="1"/>
      <w:numFmt w:val="decimal"/>
      <w:lvlText w:val="%3."/>
      <w:lvlJc w:val="left"/>
      <w:pPr>
        <w:tabs>
          <w:tab w:val="num" w:pos="2160"/>
        </w:tabs>
        <w:ind w:left="2160" w:hanging="360"/>
      </w:pPr>
    </w:lvl>
    <w:lvl w:ilvl="3" w:tplc="2B6E7F08" w:tentative="1">
      <w:start w:val="1"/>
      <w:numFmt w:val="decimal"/>
      <w:lvlText w:val="%4."/>
      <w:lvlJc w:val="left"/>
      <w:pPr>
        <w:tabs>
          <w:tab w:val="num" w:pos="2880"/>
        </w:tabs>
        <w:ind w:left="2880" w:hanging="360"/>
      </w:pPr>
    </w:lvl>
    <w:lvl w:ilvl="4" w:tplc="BBF8C45E" w:tentative="1">
      <w:start w:val="1"/>
      <w:numFmt w:val="decimal"/>
      <w:lvlText w:val="%5."/>
      <w:lvlJc w:val="left"/>
      <w:pPr>
        <w:tabs>
          <w:tab w:val="num" w:pos="3600"/>
        </w:tabs>
        <w:ind w:left="3600" w:hanging="360"/>
      </w:pPr>
    </w:lvl>
    <w:lvl w:ilvl="5" w:tplc="F0C419FE" w:tentative="1">
      <w:start w:val="1"/>
      <w:numFmt w:val="decimal"/>
      <w:lvlText w:val="%6."/>
      <w:lvlJc w:val="left"/>
      <w:pPr>
        <w:tabs>
          <w:tab w:val="num" w:pos="4320"/>
        </w:tabs>
        <w:ind w:left="4320" w:hanging="360"/>
      </w:pPr>
    </w:lvl>
    <w:lvl w:ilvl="6" w:tplc="ABC8AECE" w:tentative="1">
      <w:start w:val="1"/>
      <w:numFmt w:val="decimal"/>
      <w:lvlText w:val="%7."/>
      <w:lvlJc w:val="left"/>
      <w:pPr>
        <w:tabs>
          <w:tab w:val="num" w:pos="5040"/>
        </w:tabs>
        <w:ind w:left="5040" w:hanging="360"/>
      </w:pPr>
    </w:lvl>
    <w:lvl w:ilvl="7" w:tplc="A9BE8A5C" w:tentative="1">
      <w:start w:val="1"/>
      <w:numFmt w:val="decimal"/>
      <w:lvlText w:val="%8."/>
      <w:lvlJc w:val="left"/>
      <w:pPr>
        <w:tabs>
          <w:tab w:val="num" w:pos="5760"/>
        </w:tabs>
        <w:ind w:left="5760" w:hanging="360"/>
      </w:pPr>
    </w:lvl>
    <w:lvl w:ilvl="8" w:tplc="9496BC6C" w:tentative="1">
      <w:start w:val="1"/>
      <w:numFmt w:val="decimal"/>
      <w:lvlText w:val="%9."/>
      <w:lvlJc w:val="left"/>
      <w:pPr>
        <w:tabs>
          <w:tab w:val="num" w:pos="6480"/>
        </w:tabs>
        <w:ind w:left="6480" w:hanging="360"/>
      </w:pPr>
    </w:lvl>
  </w:abstractNum>
  <w:abstractNum w:abstractNumId="2">
    <w:nsid w:val="0E255EDA"/>
    <w:multiLevelType w:val="hybridMultilevel"/>
    <w:tmpl w:val="E3746038"/>
    <w:lvl w:ilvl="0" w:tplc="D04A45C4">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E12EEE"/>
    <w:multiLevelType w:val="hybridMultilevel"/>
    <w:tmpl w:val="3FDC4E7C"/>
    <w:lvl w:ilvl="0" w:tplc="61767DE6">
      <w:start w:val="3"/>
      <w:numFmt w:val="lowerLetter"/>
      <w:lvlText w:val="%1)"/>
      <w:lvlJc w:val="left"/>
      <w:pPr>
        <w:tabs>
          <w:tab w:val="num" w:pos="720"/>
        </w:tabs>
        <w:ind w:left="720" w:hanging="360"/>
      </w:pPr>
    </w:lvl>
    <w:lvl w:ilvl="1" w:tplc="86F4C07A" w:tentative="1">
      <w:start w:val="1"/>
      <w:numFmt w:val="lowerLetter"/>
      <w:lvlText w:val="%2)"/>
      <w:lvlJc w:val="left"/>
      <w:pPr>
        <w:tabs>
          <w:tab w:val="num" w:pos="1440"/>
        </w:tabs>
        <w:ind w:left="1440" w:hanging="360"/>
      </w:pPr>
    </w:lvl>
    <w:lvl w:ilvl="2" w:tplc="8C4A9744" w:tentative="1">
      <w:start w:val="1"/>
      <w:numFmt w:val="lowerLetter"/>
      <w:lvlText w:val="%3)"/>
      <w:lvlJc w:val="left"/>
      <w:pPr>
        <w:tabs>
          <w:tab w:val="num" w:pos="2160"/>
        </w:tabs>
        <w:ind w:left="2160" w:hanging="360"/>
      </w:pPr>
    </w:lvl>
    <w:lvl w:ilvl="3" w:tplc="72A6A5EE" w:tentative="1">
      <w:start w:val="1"/>
      <w:numFmt w:val="lowerLetter"/>
      <w:lvlText w:val="%4)"/>
      <w:lvlJc w:val="left"/>
      <w:pPr>
        <w:tabs>
          <w:tab w:val="num" w:pos="2880"/>
        </w:tabs>
        <w:ind w:left="2880" w:hanging="360"/>
      </w:pPr>
    </w:lvl>
    <w:lvl w:ilvl="4" w:tplc="25A46BD8" w:tentative="1">
      <w:start w:val="1"/>
      <w:numFmt w:val="lowerLetter"/>
      <w:lvlText w:val="%5)"/>
      <w:lvlJc w:val="left"/>
      <w:pPr>
        <w:tabs>
          <w:tab w:val="num" w:pos="3600"/>
        </w:tabs>
        <w:ind w:left="3600" w:hanging="360"/>
      </w:pPr>
    </w:lvl>
    <w:lvl w:ilvl="5" w:tplc="DAC42580" w:tentative="1">
      <w:start w:val="1"/>
      <w:numFmt w:val="lowerLetter"/>
      <w:lvlText w:val="%6)"/>
      <w:lvlJc w:val="left"/>
      <w:pPr>
        <w:tabs>
          <w:tab w:val="num" w:pos="4320"/>
        </w:tabs>
        <w:ind w:left="4320" w:hanging="360"/>
      </w:pPr>
    </w:lvl>
    <w:lvl w:ilvl="6" w:tplc="017675CC" w:tentative="1">
      <w:start w:val="1"/>
      <w:numFmt w:val="lowerLetter"/>
      <w:lvlText w:val="%7)"/>
      <w:lvlJc w:val="left"/>
      <w:pPr>
        <w:tabs>
          <w:tab w:val="num" w:pos="5040"/>
        </w:tabs>
        <w:ind w:left="5040" w:hanging="360"/>
      </w:pPr>
    </w:lvl>
    <w:lvl w:ilvl="7" w:tplc="A5F8BC76" w:tentative="1">
      <w:start w:val="1"/>
      <w:numFmt w:val="lowerLetter"/>
      <w:lvlText w:val="%8)"/>
      <w:lvlJc w:val="left"/>
      <w:pPr>
        <w:tabs>
          <w:tab w:val="num" w:pos="5760"/>
        </w:tabs>
        <w:ind w:left="5760" w:hanging="360"/>
      </w:pPr>
    </w:lvl>
    <w:lvl w:ilvl="8" w:tplc="6AACD6BA" w:tentative="1">
      <w:start w:val="1"/>
      <w:numFmt w:val="lowerLetter"/>
      <w:lvlText w:val="%9)"/>
      <w:lvlJc w:val="left"/>
      <w:pPr>
        <w:tabs>
          <w:tab w:val="num" w:pos="6480"/>
        </w:tabs>
        <w:ind w:left="6480" w:hanging="360"/>
      </w:pPr>
    </w:lvl>
  </w:abstractNum>
  <w:abstractNum w:abstractNumId="4">
    <w:nsid w:val="3F4A4D5C"/>
    <w:multiLevelType w:val="hybridMultilevel"/>
    <w:tmpl w:val="F368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67636"/>
    <w:multiLevelType w:val="hybridMultilevel"/>
    <w:tmpl w:val="ADCAA6B4"/>
    <w:lvl w:ilvl="0" w:tplc="E2BCC616">
      <w:start w:val="3"/>
      <w:numFmt w:val="decimal"/>
      <w:lvlText w:val="%1."/>
      <w:lvlJc w:val="left"/>
      <w:pPr>
        <w:tabs>
          <w:tab w:val="num" w:pos="720"/>
        </w:tabs>
        <w:ind w:left="720" w:hanging="360"/>
      </w:pPr>
    </w:lvl>
    <w:lvl w:ilvl="1" w:tplc="DC0422EE" w:tentative="1">
      <w:start w:val="1"/>
      <w:numFmt w:val="decimal"/>
      <w:lvlText w:val="%2."/>
      <w:lvlJc w:val="left"/>
      <w:pPr>
        <w:tabs>
          <w:tab w:val="num" w:pos="1440"/>
        </w:tabs>
        <w:ind w:left="1440" w:hanging="360"/>
      </w:pPr>
    </w:lvl>
    <w:lvl w:ilvl="2" w:tplc="6B82DE52" w:tentative="1">
      <w:start w:val="1"/>
      <w:numFmt w:val="decimal"/>
      <w:lvlText w:val="%3."/>
      <w:lvlJc w:val="left"/>
      <w:pPr>
        <w:tabs>
          <w:tab w:val="num" w:pos="2160"/>
        </w:tabs>
        <w:ind w:left="2160" w:hanging="360"/>
      </w:pPr>
    </w:lvl>
    <w:lvl w:ilvl="3" w:tplc="98C8B6B2" w:tentative="1">
      <w:start w:val="1"/>
      <w:numFmt w:val="decimal"/>
      <w:lvlText w:val="%4."/>
      <w:lvlJc w:val="left"/>
      <w:pPr>
        <w:tabs>
          <w:tab w:val="num" w:pos="2880"/>
        </w:tabs>
        <w:ind w:left="2880" w:hanging="360"/>
      </w:pPr>
    </w:lvl>
    <w:lvl w:ilvl="4" w:tplc="5372A1FC" w:tentative="1">
      <w:start w:val="1"/>
      <w:numFmt w:val="decimal"/>
      <w:lvlText w:val="%5."/>
      <w:lvlJc w:val="left"/>
      <w:pPr>
        <w:tabs>
          <w:tab w:val="num" w:pos="3600"/>
        </w:tabs>
        <w:ind w:left="3600" w:hanging="360"/>
      </w:pPr>
    </w:lvl>
    <w:lvl w:ilvl="5" w:tplc="D396C10A" w:tentative="1">
      <w:start w:val="1"/>
      <w:numFmt w:val="decimal"/>
      <w:lvlText w:val="%6."/>
      <w:lvlJc w:val="left"/>
      <w:pPr>
        <w:tabs>
          <w:tab w:val="num" w:pos="4320"/>
        </w:tabs>
        <w:ind w:left="4320" w:hanging="360"/>
      </w:pPr>
    </w:lvl>
    <w:lvl w:ilvl="6" w:tplc="401619DE" w:tentative="1">
      <w:start w:val="1"/>
      <w:numFmt w:val="decimal"/>
      <w:lvlText w:val="%7."/>
      <w:lvlJc w:val="left"/>
      <w:pPr>
        <w:tabs>
          <w:tab w:val="num" w:pos="5040"/>
        </w:tabs>
        <w:ind w:left="5040" w:hanging="360"/>
      </w:pPr>
    </w:lvl>
    <w:lvl w:ilvl="7" w:tplc="A3742490" w:tentative="1">
      <w:start w:val="1"/>
      <w:numFmt w:val="decimal"/>
      <w:lvlText w:val="%8."/>
      <w:lvlJc w:val="left"/>
      <w:pPr>
        <w:tabs>
          <w:tab w:val="num" w:pos="5760"/>
        </w:tabs>
        <w:ind w:left="5760" w:hanging="360"/>
      </w:pPr>
    </w:lvl>
    <w:lvl w:ilvl="8" w:tplc="2042F66E" w:tentative="1">
      <w:start w:val="1"/>
      <w:numFmt w:val="decimal"/>
      <w:lvlText w:val="%9."/>
      <w:lvlJc w:val="left"/>
      <w:pPr>
        <w:tabs>
          <w:tab w:val="num" w:pos="6480"/>
        </w:tabs>
        <w:ind w:left="6480" w:hanging="360"/>
      </w:pPr>
    </w:lvl>
  </w:abstractNum>
  <w:abstractNum w:abstractNumId="6">
    <w:nsid w:val="527E6D0C"/>
    <w:multiLevelType w:val="hybridMultilevel"/>
    <w:tmpl w:val="609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634F6"/>
    <w:multiLevelType w:val="hybridMultilevel"/>
    <w:tmpl w:val="39B8D166"/>
    <w:lvl w:ilvl="0" w:tplc="C95C6FDA">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15000F"/>
    <w:multiLevelType w:val="hybridMultilevel"/>
    <w:tmpl w:val="C97E8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BF7129"/>
    <w:multiLevelType w:val="hybridMultilevel"/>
    <w:tmpl w:val="08EEE796"/>
    <w:lvl w:ilvl="0" w:tplc="02AE45C8">
      <w:start w:val="5"/>
      <w:numFmt w:val="decimal"/>
      <w:lvlText w:val="%1."/>
      <w:lvlJc w:val="left"/>
      <w:pPr>
        <w:tabs>
          <w:tab w:val="num" w:pos="720"/>
        </w:tabs>
        <w:ind w:left="720" w:hanging="360"/>
      </w:pPr>
    </w:lvl>
    <w:lvl w:ilvl="1" w:tplc="78245F64" w:tentative="1">
      <w:start w:val="1"/>
      <w:numFmt w:val="decimal"/>
      <w:lvlText w:val="%2."/>
      <w:lvlJc w:val="left"/>
      <w:pPr>
        <w:tabs>
          <w:tab w:val="num" w:pos="1440"/>
        </w:tabs>
        <w:ind w:left="1440" w:hanging="360"/>
      </w:pPr>
    </w:lvl>
    <w:lvl w:ilvl="2" w:tplc="F1423A88" w:tentative="1">
      <w:start w:val="1"/>
      <w:numFmt w:val="decimal"/>
      <w:lvlText w:val="%3."/>
      <w:lvlJc w:val="left"/>
      <w:pPr>
        <w:tabs>
          <w:tab w:val="num" w:pos="2160"/>
        </w:tabs>
        <w:ind w:left="2160" w:hanging="360"/>
      </w:pPr>
    </w:lvl>
    <w:lvl w:ilvl="3" w:tplc="CFC2E09C" w:tentative="1">
      <w:start w:val="1"/>
      <w:numFmt w:val="decimal"/>
      <w:lvlText w:val="%4."/>
      <w:lvlJc w:val="left"/>
      <w:pPr>
        <w:tabs>
          <w:tab w:val="num" w:pos="2880"/>
        </w:tabs>
        <w:ind w:left="2880" w:hanging="360"/>
      </w:pPr>
    </w:lvl>
    <w:lvl w:ilvl="4" w:tplc="5FA48A9C" w:tentative="1">
      <w:start w:val="1"/>
      <w:numFmt w:val="decimal"/>
      <w:lvlText w:val="%5."/>
      <w:lvlJc w:val="left"/>
      <w:pPr>
        <w:tabs>
          <w:tab w:val="num" w:pos="3600"/>
        </w:tabs>
        <w:ind w:left="3600" w:hanging="360"/>
      </w:pPr>
    </w:lvl>
    <w:lvl w:ilvl="5" w:tplc="26D8A94A" w:tentative="1">
      <w:start w:val="1"/>
      <w:numFmt w:val="decimal"/>
      <w:lvlText w:val="%6."/>
      <w:lvlJc w:val="left"/>
      <w:pPr>
        <w:tabs>
          <w:tab w:val="num" w:pos="4320"/>
        </w:tabs>
        <w:ind w:left="4320" w:hanging="360"/>
      </w:pPr>
    </w:lvl>
    <w:lvl w:ilvl="6" w:tplc="F31AF73E" w:tentative="1">
      <w:start w:val="1"/>
      <w:numFmt w:val="decimal"/>
      <w:lvlText w:val="%7."/>
      <w:lvlJc w:val="left"/>
      <w:pPr>
        <w:tabs>
          <w:tab w:val="num" w:pos="5040"/>
        </w:tabs>
        <w:ind w:left="5040" w:hanging="360"/>
      </w:pPr>
    </w:lvl>
    <w:lvl w:ilvl="7" w:tplc="995CD876" w:tentative="1">
      <w:start w:val="1"/>
      <w:numFmt w:val="decimal"/>
      <w:lvlText w:val="%8."/>
      <w:lvlJc w:val="left"/>
      <w:pPr>
        <w:tabs>
          <w:tab w:val="num" w:pos="5760"/>
        </w:tabs>
        <w:ind w:left="5760" w:hanging="360"/>
      </w:pPr>
    </w:lvl>
    <w:lvl w:ilvl="8" w:tplc="C3FE8056"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5"/>
  </w:num>
  <w:num w:numId="5">
    <w:abstractNumId w:val="4"/>
  </w:num>
  <w:num w:numId="6">
    <w:abstractNumId w:val="8"/>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27"/>
    <w:rsid w:val="000C72AC"/>
    <w:rsid w:val="00192491"/>
    <w:rsid w:val="001C01BF"/>
    <w:rsid w:val="00272B81"/>
    <w:rsid w:val="002A185D"/>
    <w:rsid w:val="002C5C3B"/>
    <w:rsid w:val="003009FC"/>
    <w:rsid w:val="007B3777"/>
    <w:rsid w:val="00823A19"/>
    <w:rsid w:val="00831610"/>
    <w:rsid w:val="008C1A9A"/>
    <w:rsid w:val="008D4B27"/>
    <w:rsid w:val="008E3C0B"/>
    <w:rsid w:val="00912F6B"/>
    <w:rsid w:val="00A97BB4"/>
    <w:rsid w:val="00B83BC7"/>
    <w:rsid w:val="00BC4C0C"/>
    <w:rsid w:val="00D37A46"/>
    <w:rsid w:val="00D86989"/>
    <w:rsid w:val="00F249FC"/>
    <w:rsid w:val="00F72B57"/>
    <w:rsid w:val="00F84792"/>
    <w:rsid w:val="00FE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C669-90AA-4CDD-9A7A-9758AA61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A9A"/>
    <w:pPr>
      <w:ind w:left="720"/>
      <w:contextualSpacing/>
    </w:pPr>
  </w:style>
  <w:style w:type="paragraph" w:styleId="Header">
    <w:name w:val="header"/>
    <w:basedOn w:val="Normal"/>
    <w:link w:val="HeaderChar"/>
    <w:uiPriority w:val="99"/>
    <w:unhideWhenUsed/>
    <w:rsid w:val="00F8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92"/>
  </w:style>
  <w:style w:type="paragraph" w:styleId="Footer">
    <w:name w:val="footer"/>
    <w:basedOn w:val="Normal"/>
    <w:link w:val="FooterChar"/>
    <w:uiPriority w:val="99"/>
    <w:unhideWhenUsed/>
    <w:rsid w:val="00F8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92"/>
  </w:style>
  <w:style w:type="paragraph" w:styleId="BalloonText">
    <w:name w:val="Balloon Text"/>
    <w:basedOn w:val="Normal"/>
    <w:link w:val="BalloonTextChar"/>
    <w:uiPriority w:val="99"/>
    <w:semiHidden/>
    <w:unhideWhenUsed/>
    <w:rsid w:val="00D8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0213">
      <w:bodyDiv w:val="1"/>
      <w:marLeft w:val="0"/>
      <w:marRight w:val="0"/>
      <w:marTop w:val="0"/>
      <w:marBottom w:val="0"/>
      <w:divBdr>
        <w:top w:val="none" w:sz="0" w:space="0" w:color="auto"/>
        <w:left w:val="none" w:sz="0" w:space="0" w:color="auto"/>
        <w:bottom w:val="none" w:sz="0" w:space="0" w:color="auto"/>
        <w:right w:val="none" w:sz="0" w:space="0" w:color="auto"/>
      </w:divBdr>
      <w:divsChild>
        <w:div w:id="1599486626">
          <w:marLeft w:val="907"/>
          <w:marRight w:val="0"/>
          <w:marTop w:val="154"/>
          <w:marBottom w:val="0"/>
          <w:divBdr>
            <w:top w:val="none" w:sz="0" w:space="0" w:color="auto"/>
            <w:left w:val="none" w:sz="0" w:space="0" w:color="auto"/>
            <w:bottom w:val="none" w:sz="0" w:space="0" w:color="auto"/>
            <w:right w:val="none" w:sz="0" w:space="0" w:color="auto"/>
          </w:divBdr>
        </w:div>
      </w:divsChild>
    </w:div>
    <w:div w:id="108398261">
      <w:bodyDiv w:val="1"/>
      <w:marLeft w:val="0"/>
      <w:marRight w:val="0"/>
      <w:marTop w:val="0"/>
      <w:marBottom w:val="0"/>
      <w:divBdr>
        <w:top w:val="none" w:sz="0" w:space="0" w:color="auto"/>
        <w:left w:val="none" w:sz="0" w:space="0" w:color="auto"/>
        <w:bottom w:val="none" w:sz="0" w:space="0" w:color="auto"/>
        <w:right w:val="none" w:sz="0" w:space="0" w:color="auto"/>
      </w:divBdr>
    </w:div>
    <w:div w:id="143350323">
      <w:bodyDiv w:val="1"/>
      <w:marLeft w:val="0"/>
      <w:marRight w:val="0"/>
      <w:marTop w:val="0"/>
      <w:marBottom w:val="0"/>
      <w:divBdr>
        <w:top w:val="none" w:sz="0" w:space="0" w:color="auto"/>
        <w:left w:val="none" w:sz="0" w:space="0" w:color="auto"/>
        <w:bottom w:val="none" w:sz="0" w:space="0" w:color="auto"/>
        <w:right w:val="none" w:sz="0" w:space="0" w:color="auto"/>
      </w:divBdr>
    </w:div>
    <w:div w:id="168064345">
      <w:bodyDiv w:val="1"/>
      <w:marLeft w:val="0"/>
      <w:marRight w:val="0"/>
      <w:marTop w:val="0"/>
      <w:marBottom w:val="0"/>
      <w:divBdr>
        <w:top w:val="none" w:sz="0" w:space="0" w:color="auto"/>
        <w:left w:val="none" w:sz="0" w:space="0" w:color="auto"/>
        <w:bottom w:val="none" w:sz="0" w:space="0" w:color="auto"/>
        <w:right w:val="none" w:sz="0" w:space="0" w:color="auto"/>
      </w:divBdr>
      <w:divsChild>
        <w:div w:id="696154367">
          <w:marLeft w:val="907"/>
          <w:marRight w:val="0"/>
          <w:marTop w:val="154"/>
          <w:marBottom w:val="0"/>
          <w:divBdr>
            <w:top w:val="none" w:sz="0" w:space="0" w:color="auto"/>
            <w:left w:val="none" w:sz="0" w:space="0" w:color="auto"/>
            <w:bottom w:val="none" w:sz="0" w:space="0" w:color="auto"/>
            <w:right w:val="none" w:sz="0" w:space="0" w:color="auto"/>
          </w:divBdr>
        </w:div>
      </w:divsChild>
    </w:div>
    <w:div w:id="746070252">
      <w:bodyDiv w:val="1"/>
      <w:marLeft w:val="0"/>
      <w:marRight w:val="0"/>
      <w:marTop w:val="0"/>
      <w:marBottom w:val="0"/>
      <w:divBdr>
        <w:top w:val="none" w:sz="0" w:space="0" w:color="auto"/>
        <w:left w:val="none" w:sz="0" w:space="0" w:color="auto"/>
        <w:bottom w:val="none" w:sz="0" w:space="0" w:color="auto"/>
        <w:right w:val="none" w:sz="0" w:space="0" w:color="auto"/>
      </w:divBdr>
    </w:div>
    <w:div w:id="804739785">
      <w:bodyDiv w:val="1"/>
      <w:marLeft w:val="0"/>
      <w:marRight w:val="0"/>
      <w:marTop w:val="0"/>
      <w:marBottom w:val="0"/>
      <w:divBdr>
        <w:top w:val="none" w:sz="0" w:space="0" w:color="auto"/>
        <w:left w:val="none" w:sz="0" w:space="0" w:color="auto"/>
        <w:bottom w:val="none" w:sz="0" w:space="0" w:color="auto"/>
        <w:right w:val="none" w:sz="0" w:space="0" w:color="auto"/>
      </w:divBdr>
    </w:div>
    <w:div w:id="976909209">
      <w:bodyDiv w:val="1"/>
      <w:marLeft w:val="0"/>
      <w:marRight w:val="0"/>
      <w:marTop w:val="0"/>
      <w:marBottom w:val="0"/>
      <w:divBdr>
        <w:top w:val="none" w:sz="0" w:space="0" w:color="auto"/>
        <w:left w:val="none" w:sz="0" w:space="0" w:color="auto"/>
        <w:bottom w:val="none" w:sz="0" w:space="0" w:color="auto"/>
        <w:right w:val="none" w:sz="0" w:space="0" w:color="auto"/>
      </w:divBdr>
    </w:div>
    <w:div w:id="988633107">
      <w:bodyDiv w:val="1"/>
      <w:marLeft w:val="0"/>
      <w:marRight w:val="0"/>
      <w:marTop w:val="0"/>
      <w:marBottom w:val="0"/>
      <w:divBdr>
        <w:top w:val="none" w:sz="0" w:space="0" w:color="auto"/>
        <w:left w:val="none" w:sz="0" w:space="0" w:color="auto"/>
        <w:bottom w:val="none" w:sz="0" w:space="0" w:color="auto"/>
        <w:right w:val="none" w:sz="0" w:space="0" w:color="auto"/>
      </w:divBdr>
    </w:div>
    <w:div w:id="1411581421">
      <w:bodyDiv w:val="1"/>
      <w:marLeft w:val="0"/>
      <w:marRight w:val="0"/>
      <w:marTop w:val="0"/>
      <w:marBottom w:val="0"/>
      <w:divBdr>
        <w:top w:val="none" w:sz="0" w:space="0" w:color="auto"/>
        <w:left w:val="none" w:sz="0" w:space="0" w:color="auto"/>
        <w:bottom w:val="none" w:sz="0" w:space="0" w:color="auto"/>
        <w:right w:val="none" w:sz="0" w:space="0" w:color="auto"/>
      </w:divBdr>
      <w:divsChild>
        <w:div w:id="1713117565">
          <w:marLeft w:val="547"/>
          <w:marRight w:val="0"/>
          <w:marTop w:val="144"/>
          <w:marBottom w:val="0"/>
          <w:divBdr>
            <w:top w:val="none" w:sz="0" w:space="0" w:color="auto"/>
            <w:left w:val="none" w:sz="0" w:space="0" w:color="auto"/>
            <w:bottom w:val="none" w:sz="0" w:space="0" w:color="auto"/>
            <w:right w:val="none" w:sz="0" w:space="0" w:color="auto"/>
          </w:divBdr>
        </w:div>
      </w:divsChild>
    </w:div>
    <w:div w:id="1460610539">
      <w:bodyDiv w:val="1"/>
      <w:marLeft w:val="0"/>
      <w:marRight w:val="0"/>
      <w:marTop w:val="0"/>
      <w:marBottom w:val="0"/>
      <w:divBdr>
        <w:top w:val="none" w:sz="0" w:space="0" w:color="auto"/>
        <w:left w:val="none" w:sz="0" w:space="0" w:color="auto"/>
        <w:bottom w:val="none" w:sz="0" w:space="0" w:color="auto"/>
        <w:right w:val="none" w:sz="0" w:space="0" w:color="auto"/>
      </w:divBdr>
      <w:divsChild>
        <w:div w:id="1511750850">
          <w:marLeft w:val="907"/>
          <w:marRight w:val="0"/>
          <w:marTop w:val="154"/>
          <w:marBottom w:val="0"/>
          <w:divBdr>
            <w:top w:val="none" w:sz="0" w:space="0" w:color="auto"/>
            <w:left w:val="none" w:sz="0" w:space="0" w:color="auto"/>
            <w:bottom w:val="none" w:sz="0" w:space="0" w:color="auto"/>
            <w:right w:val="none" w:sz="0" w:space="0" w:color="auto"/>
          </w:divBdr>
        </w:div>
      </w:divsChild>
    </w:div>
    <w:div w:id="1570505251">
      <w:bodyDiv w:val="1"/>
      <w:marLeft w:val="0"/>
      <w:marRight w:val="0"/>
      <w:marTop w:val="0"/>
      <w:marBottom w:val="0"/>
      <w:divBdr>
        <w:top w:val="none" w:sz="0" w:space="0" w:color="auto"/>
        <w:left w:val="none" w:sz="0" w:space="0" w:color="auto"/>
        <w:bottom w:val="none" w:sz="0" w:space="0" w:color="auto"/>
        <w:right w:val="none" w:sz="0" w:space="0" w:color="auto"/>
      </w:divBdr>
    </w:div>
    <w:div w:id="2106264893">
      <w:bodyDiv w:val="1"/>
      <w:marLeft w:val="0"/>
      <w:marRight w:val="0"/>
      <w:marTop w:val="0"/>
      <w:marBottom w:val="0"/>
      <w:divBdr>
        <w:top w:val="none" w:sz="0" w:space="0" w:color="auto"/>
        <w:left w:val="none" w:sz="0" w:space="0" w:color="auto"/>
        <w:bottom w:val="none" w:sz="0" w:space="0" w:color="auto"/>
        <w:right w:val="none" w:sz="0" w:space="0" w:color="auto"/>
      </w:divBdr>
    </w:div>
    <w:div w:id="2115511350">
      <w:bodyDiv w:val="1"/>
      <w:marLeft w:val="0"/>
      <w:marRight w:val="0"/>
      <w:marTop w:val="0"/>
      <w:marBottom w:val="0"/>
      <w:divBdr>
        <w:top w:val="none" w:sz="0" w:space="0" w:color="auto"/>
        <w:left w:val="none" w:sz="0" w:space="0" w:color="auto"/>
        <w:bottom w:val="none" w:sz="0" w:space="0" w:color="auto"/>
        <w:right w:val="none" w:sz="0" w:space="0" w:color="auto"/>
      </w:divBdr>
      <w:divsChild>
        <w:div w:id="608590347">
          <w:marLeft w:val="90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Skelton</dc:creator>
  <cp:keywords/>
  <dc:description/>
  <cp:lastModifiedBy>mec20</cp:lastModifiedBy>
  <cp:revision>5</cp:revision>
  <cp:lastPrinted>2015-05-11T18:24:00Z</cp:lastPrinted>
  <dcterms:created xsi:type="dcterms:W3CDTF">2015-05-11T19:07:00Z</dcterms:created>
  <dcterms:modified xsi:type="dcterms:W3CDTF">2015-05-11T21:43:00Z</dcterms:modified>
</cp:coreProperties>
</file>